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ind w:right="0"/>
        <w:rPr>
          <w:rFonts w:ascii="Times New Roman" w:hAnsi="Times New Roman" w:cs="Times New Roman" w:eastAsia="Times New Roman" w:hint="default"/>
          <w:sz w:val="26"/>
          <w:szCs w:val="26"/>
        </w:rPr>
      </w:pPr>
    </w:p>
    <w:p>
      <w:pPr>
        <w:pStyle w:val="Heading1"/>
        <w:spacing w:line="240" w:lineRule="auto" w:before="172"/>
        <w:ind w:left="175" w:right="-2"/>
        <w:jc w:val="left"/>
      </w:pPr>
      <w:r>
        <w:rPr/>
        <w:t>POLICY</w:t>
      </w:r>
    </w:p>
    <w:p>
      <w:pPr>
        <w:spacing w:before="119"/>
        <w:ind w:left="175" w:right="0" w:firstLine="0"/>
        <w:jc w:val="left"/>
        <w:rPr>
          <w:rFonts w:ascii="Arial" w:hAnsi="Arial" w:cs="Arial" w:eastAsia="Arial" w:hint="default"/>
          <w:sz w:val="20"/>
          <w:szCs w:val="20"/>
        </w:rPr>
      </w:pPr>
      <w:r>
        <w:rPr>
          <w:w w:val="110"/>
        </w:rPr>
        <w:br w:type="column"/>
      </w:r>
      <w:r>
        <w:rPr>
          <w:rFonts w:ascii="Arial"/>
          <w:w w:val="110"/>
          <w:sz w:val="20"/>
        </w:rPr>
        <w:t>Pandemic</w:t>
      </w:r>
      <w:r>
        <w:rPr>
          <w:rFonts w:ascii="Arial"/>
          <w:spacing w:val="2"/>
          <w:w w:val="110"/>
          <w:sz w:val="20"/>
        </w:rPr>
        <w:t> </w:t>
      </w:r>
      <w:r>
        <w:rPr>
          <w:rFonts w:ascii="Arial"/>
          <w:w w:val="110"/>
          <w:sz w:val="20"/>
        </w:rPr>
        <w:t>Preparedness</w:t>
      </w:r>
      <w:r>
        <w:rPr>
          <w:rFonts w:ascii="Arial"/>
          <w:sz w:val="20"/>
        </w:rPr>
      </w:r>
    </w:p>
    <w:p>
      <w:pPr>
        <w:spacing w:after="0"/>
        <w:jc w:val="left"/>
        <w:rPr>
          <w:rFonts w:ascii="Arial" w:hAnsi="Arial" w:cs="Arial" w:eastAsia="Arial" w:hint="default"/>
          <w:sz w:val="20"/>
          <w:szCs w:val="20"/>
        </w:rPr>
        <w:sectPr>
          <w:headerReference w:type="default" r:id="rId5"/>
          <w:footerReference w:type="default" r:id="rId6"/>
          <w:type w:val="continuous"/>
          <w:pgSz w:w="12240" w:h="15840"/>
          <w:pgMar w:header="1085" w:footer="1340" w:top="1380" w:bottom="1540" w:left="1260" w:right="1220"/>
          <w:pgNumType w:start="1"/>
          <w:cols w:num="2" w:equalWidth="0">
            <w:col w:w="1147" w:space="5913"/>
            <w:col w:w="2700"/>
          </w:cols>
        </w:sectPr>
      </w:pPr>
    </w:p>
    <w:p>
      <w:pPr>
        <w:pStyle w:val="BodyText"/>
        <w:spacing w:line="256" w:lineRule="auto" w:before="146"/>
        <w:ind w:left="175" w:right="131" w:hanging="10"/>
        <w:jc w:val="left"/>
      </w:pPr>
      <w:r>
        <w:rPr/>
        <w:t>ACCO Engineered Systems, Inc. has adopted this policy to inform employees of the written</w:t>
      </w:r>
      <w:r>
        <w:rPr>
          <w:spacing w:val="-11"/>
        </w:rPr>
        <w:t> </w:t>
      </w:r>
      <w:r>
        <w:rPr/>
        <w:t>Pandemic </w:t>
      </w:r>
      <w:r>
        <w:rPr/>
        <w:t>Preparedness Policy. This ensures the safety and health of the</w:t>
      </w:r>
      <w:r>
        <w:rPr>
          <w:spacing w:val="-36"/>
        </w:rPr>
        <w:t> </w:t>
      </w:r>
      <w:r>
        <w:rPr/>
        <w:t>employees.</w:t>
      </w:r>
    </w:p>
    <w:p>
      <w:pPr>
        <w:pStyle w:val="BodyText"/>
        <w:spacing w:line="256" w:lineRule="auto" w:before="121"/>
        <w:ind w:left="151" w:right="196" w:firstLine="4"/>
        <w:jc w:val="left"/>
      </w:pPr>
      <w:r>
        <w:rPr/>
        <w:t>ACCO Engineered Systems, Inc. will provide and encourage the use of the following items to prevent the spread of disease in the workplace: handwashing facilities, hand sanitizers, tissues, no touch trash cans, hand soap, and disposable</w:t>
      </w:r>
      <w:r>
        <w:rPr>
          <w:spacing w:val="-9"/>
        </w:rPr>
        <w:t> </w:t>
      </w:r>
      <w:r>
        <w:rPr/>
        <w:t>towels.</w:t>
      </w:r>
    </w:p>
    <w:p>
      <w:pPr>
        <w:pStyle w:val="Heading1"/>
        <w:spacing w:line="240" w:lineRule="auto" w:before="127"/>
        <w:ind w:left="165" w:right="131"/>
        <w:jc w:val="left"/>
      </w:pPr>
      <w:r>
        <w:rPr/>
        <w:t>EMPLOYER </w:t>
      </w:r>
      <w:r>
        <w:rPr>
          <w:spacing w:val="28"/>
        </w:rPr>
        <w:t> </w:t>
      </w:r>
      <w:r>
        <w:rPr/>
        <w:t>RESPONSIBILITIES</w:t>
      </w:r>
    </w:p>
    <w:p>
      <w:pPr>
        <w:pStyle w:val="BodyText"/>
        <w:spacing w:line="259" w:lineRule="auto" w:before="146"/>
        <w:ind w:left="146" w:right="481" w:firstLine="9"/>
        <w:jc w:val="left"/>
      </w:pPr>
      <w:r>
        <w:rPr/>
        <w:t>Donovan Seeber is responsible for developing a worksite specific pandemic disease plan and coordinating with the workplace which includes contacting local health department and health</w:t>
      </w:r>
      <w:r>
        <w:rPr>
          <w:spacing w:val="-5"/>
        </w:rPr>
        <w:t> </w:t>
      </w:r>
      <w:r>
        <w:rPr/>
        <w:t>care </w:t>
      </w:r>
      <w:r>
        <w:rPr/>
        <w:t>providers in advance and developing and implementing protocols for response to ill</w:t>
      </w:r>
      <w:r>
        <w:rPr>
          <w:spacing w:val="-10"/>
        </w:rPr>
        <w:t> </w:t>
      </w:r>
      <w:r>
        <w:rPr/>
        <w:t>individuals.</w:t>
      </w:r>
    </w:p>
    <w:p>
      <w:pPr>
        <w:pStyle w:val="Heading1"/>
        <w:spacing w:line="240" w:lineRule="auto" w:before="120"/>
        <w:ind w:left="151" w:right="131"/>
        <w:jc w:val="left"/>
      </w:pPr>
      <w:r>
        <w:rPr>
          <w:w w:val="105"/>
        </w:rPr>
        <w:t>HAZARDS</w:t>
      </w:r>
      <w:r>
        <w:rPr/>
      </w:r>
    </w:p>
    <w:p>
      <w:pPr>
        <w:pStyle w:val="ListParagraph"/>
        <w:numPr>
          <w:ilvl w:val="0"/>
          <w:numId w:val="1"/>
        </w:numPr>
        <w:tabs>
          <w:tab w:pos="699" w:val="left" w:leader="none"/>
        </w:tabs>
        <w:spacing w:line="240" w:lineRule="auto" w:before="165" w:after="0"/>
        <w:ind w:left="698" w:right="0" w:hanging="288"/>
        <w:jc w:val="left"/>
        <w:rPr>
          <w:rFonts w:ascii="Arial" w:hAnsi="Arial" w:cs="Arial" w:eastAsia="Arial" w:hint="default"/>
          <w:sz w:val="21"/>
          <w:szCs w:val="21"/>
        </w:rPr>
      </w:pPr>
      <w:r>
        <w:rPr>
          <w:rFonts w:ascii="Arial" w:hAnsi="Arial" w:cs="Arial" w:eastAsia="Arial" w:hint="default"/>
          <w:sz w:val="21"/>
          <w:szCs w:val="21"/>
        </w:rPr>
        <w:t>Increased risk of infectious pathogens “spilling over" from animals to</w:t>
      </w:r>
      <w:r>
        <w:rPr>
          <w:rFonts w:ascii="Arial" w:hAnsi="Arial" w:cs="Arial" w:eastAsia="Arial" w:hint="default"/>
          <w:spacing w:val="-4"/>
          <w:sz w:val="21"/>
          <w:szCs w:val="21"/>
        </w:rPr>
        <w:t> </w:t>
      </w:r>
      <w:r>
        <w:rPr>
          <w:rFonts w:ascii="Arial" w:hAnsi="Arial" w:cs="Arial" w:eastAsia="Arial" w:hint="default"/>
          <w:sz w:val="21"/>
          <w:szCs w:val="21"/>
        </w:rPr>
        <w:t>humans</w:t>
      </w:r>
    </w:p>
    <w:p>
      <w:pPr>
        <w:pStyle w:val="ListParagraph"/>
        <w:numPr>
          <w:ilvl w:val="0"/>
          <w:numId w:val="1"/>
        </w:numPr>
        <w:tabs>
          <w:tab w:pos="694" w:val="left" w:leader="none"/>
        </w:tabs>
        <w:spacing w:line="240" w:lineRule="auto" w:before="32" w:after="0"/>
        <w:ind w:left="693" w:right="0" w:hanging="288"/>
        <w:jc w:val="left"/>
        <w:rPr>
          <w:rFonts w:ascii="Arial" w:hAnsi="Arial" w:cs="Arial" w:eastAsia="Arial" w:hint="default"/>
          <w:sz w:val="21"/>
          <w:szCs w:val="21"/>
        </w:rPr>
      </w:pPr>
      <w:r>
        <w:rPr>
          <w:rFonts w:ascii="Arial"/>
          <w:sz w:val="21"/>
        </w:rPr>
        <w:t>Development of antimicrobial</w:t>
      </w:r>
      <w:r>
        <w:rPr>
          <w:rFonts w:ascii="Arial"/>
          <w:spacing w:val="-9"/>
          <w:sz w:val="21"/>
        </w:rPr>
        <w:t> </w:t>
      </w:r>
      <w:r>
        <w:rPr>
          <w:rFonts w:ascii="Arial"/>
          <w:sz w:val="21"/>
        </w:rPr>
        <w:t>resistance</w:t>
      </w:r>
    </w:p>
    <w:p>
      <w:pPr>
        <w:pStyle w:val="ListParagraph"/>
        <w:numPr>
          <w:ilvl w:val="0"/>
          <w:numId w:val="1"/>
        </w:numPr>
        <w:tabs>
          <w:tab w:pos="684" w:val="left" w:leader="none"/>
        </w:tabs>
        <w:spacing w:line="240" w:lineRule="auto" w:before="37" w:after="0"/>
        <w:ind w:left="684" w:right="0" w:hanging="279"/>
        <w:jc w:val="left"/>
        <w:rPr>
          <w:rFonts w:ascii="Arial" w:hAnsi="Arial" w:cs="Arial" w:eastAsia="Arial" w:hint="default"/>
          <w:sz w:val="21"/>
          <w:szCs w:val="21"/>
        </w:rPr>
      </w:pPr>
      <w:r>
        <w:rPr>
          <w:rFonts w:ascii="Arial"/>
          <w:sz w:val="21"/>
        </w:rPr>
        <w:t>Spread of infectious diseases through global travel and</w:t>
      </w:r>
      <w:r>
        <w:rPr>
          <w:rFonts w:ascii="Arial"/>
          <w:spacing w:val="-12"/>
          <w:sz w:val="21"/>
        </w:rPr>
        <w:t> </w:t>
      </w:r>
      <w:r>
        <w:rPr>
          <w:rFonts w:ascii="Arial"/>
          <w:sz w:val="21"/>
        </w:rPr>
        <w:t>trade</w:t>
      </w:r>
    </w:p>
    <w:p>
      <w:pPr>
        <w:pStyle w:val="ListParagraph"/>
        <w:numPr>
          <w:ilvl w:val="0"/>
          <w:numId w:val="1"/>
        </w:numPr>
        <w:tabs>
          <w:tab w:pos="684" w:val="left" w:leader="none"/>
        </w:tabs>
        <w:spacing w:line="240" w:lineRule="auto" w:before="32" w:after="0"/>
        <w:ind w:left="684" w:right="0" w:hanging="279"/>
        <w:jc w:val="left"/>
        <w:rPr>
          <w:rFonts w:ascii="Arial" w:hAnsi="Arial" w:cs="Arial" w:eastAsia="Arial" w:hint="default"/>
          <w:sz w:val="21"/>
          <w:szCs w:val="21"/>
        </w:rPr>
      </w:pPr>
      <w:r>
        <w:rPr>
          <w:rFonts w:ascii="Arial"/>
          <w:sz w:val="21"/>
        </w:rPr>
        <w:t>Acts of</w:t>
      </w:r>
      <w:r>
        <w:rPr>
          <w:rFonts w:ascii="Arial"/>
          <w:spacing w:val="-14"/>
          <w:sz w:val="21"/>
        </w:rPr>
        <w:t> </w:t>
      </w:r>
      <w:r>
        <w:rPr>
          <w:rFonts w:ascii="Arial"/>
          <w:sz w:val="21"/>
        </w:rPr>
        <w:t>bioterrorism</w:t>
      </w:r>
    </w:p>
    <w:p>
      <w:pPr>
        <w:pStyle w:val="ListParagraph"/>
        <w:numPr>
          <w:ilvl w:val="0"/>
          <w:numId w:val="1"/>
        </w:numPr>
        <w:tabs>
          <w:tab w:pos="684" w:val="left" w:leader="none"/>
        </w:tabs>
        <w:spacing w:line="240" w:lineRule="auto" w:before="37" w:after="0"/>
        <w:ind w:left="684" w:right="0" w:hanging="279"/>
        <w:jc w:val="left"/>
        <w:rPr>
          <w:rFonts w:ascii="Arial" w:hAnsi="Arial" w:cs="Arial" w:eastAsia="Arial" w:hint="default"/>
          <w:sz w:val="21"/>
          <w:szCs w:val="21"/>
        </w:rPr>
      </w:pPr>
      <w:r>
        <w:rPr>
          <w:rFonts w:ascii="Arial"/>
          <w:sz w:val="21"/>
        </w:rPr>
        <w:t>Weak public health</w:t>
      </w:r>
      <w:r>
        <w:rPr>
          <w:rFonts w:ascii="Arial"/>
          <w:spacing w:val="-14"/>
          <w:sz w:val="21"/>
        </w:rPr>
        <w:t> </w:t>
      </w:r>
      <w:r>
        <w:rPr>
          <w:rFonts w:ascii="Arial"/>
          <w:sz w:val="21"/>
        </w:rPr>
        <w:t>infrastructures</w:t>
      </w:r>
    </w:p>
    <w:p>
      <w:pPr>
        <w:pStyle w:val="ListParagraph"/>
        <w:numPr>
          <w:ilvl w:val="0"/>
          <w:numId w:val="1"/>
        </w:numPr>
        <w:tabs>
          <w:tab w:pos="699" w:val="left" w:leader="none"/>
        </w:tabs>
        <w:spacing w:line="240" w:lineRule="auto" w:before="37" w:after="0"/>
        <w:ind w:left="698" w:right="0" w:hanging="298"/>
        <w:jc w:val="left"/>
        <w:rPr>
          <w:rFonts w:ascii="Arial" w:hAnsi="Arial" w:cs="Arial" w:eastAsia="Arial" w:hint="default"/>
          <w:sz w:val="21"/>
          <w:szCs w:val="21"/>
        </w:rPr>
      </w:pPr>
      <w:r>
        <w:rPr>
          <w:rFonts w:ascii="Arial"/>
          <w:sz w:val="21"/>
        </w:rPr>
        <w:t>Illness and</w:t>
      </w:r>
      <w:r>
        <w:rPr>
          <w:rFonts w:ascii="Arial"/>
          <w:spacing w:val="-16"/>
          <w:sz w:val="21"/>
        </w:rPr>
        <w:t> </w:t>
      </w:r>
      <w:r>
        <w:rPr>
          <w:rFonts w:ascii="Arial"/>
          <w:sz w:val="21"/>
        </w:rPr>
        <w:t>Death</w:t>
      </w:r>
    </w:p>
    <w:p>
      <w:pPr>
        <w:pStyle w:val="Heading1"/>
        <w:spacing w:line="240" w:lineRule="auto" w:before="139"/>
        <w:ind w:left="141" w:right="131"/>
        <w:jc w:val="left"/>
      </w:pPr>
      <w:r>
        <w:rPr/>
        <w:t>PROCEDURES  (SAFE WORK </w:t>
      </w:r>
      <w:r>
        <w:rPr>
          <w:spacing w:val="25"/>
        </w:rPr>
        <w:t> </w:t>
      </w:r>
      <w:r>
        <w:rPr/>
        <w:t>PRACTICES)</w:t>
      </w:r>
    </w:p>
    <w:p>
      <w:pPr>
        <w:pStyle w:val="Heading2"/>
        <w:spacing w:line="240" w:lineRule="auto" w:before="156"/>
        <w:ind w:left="400" w:right="131"/>
        <w:jc w:val="left"/>
      </w:pPr>
      <w:r>
        <w:rPr>
          <w:w w:val="105"/>
        </w:rPr>
        <w:t>Work at Home and Stay at </w:t>
      </w:r>
      <w:r>
        <w:rPr>
          <w:spacing w:val="61"/>
          <w:w w:val="105"/>
        </w:rPr>
        <w:t> </w:t>
      </w:r>
      <w:r>
        <w:rPr>
          <w:w w:val="105"/>
        </w:rPr>
        <w:t>Home</w:t>
      </w:r>
      <w:r>
        <w:rPr/>
      </w:r>
    </w:p>
    <w:p>
      <w:pPr>
        <w:pStyle w:val="BodyText"/>
        <w:spacing w:line="240" w:lineRule="auto" w:before="136"/>
        <w:ind w:left="400" w:right="131"/>
        <w:jc w:val="left"/>
      </w:pPr>
      <w:r>
        <w:rPr/>
        <w:t>ACCO Engineered Systems, Inc. will develop flexible work</w:t>
      </w:r>
      <w:r>
        <w:rPr>
          <w:spacing w:val="8"/>
        </w:rPr>
        <w:t> </w:t>
      </w:r>
      <w:r>
        <w:rPr/>
        <w:t>policies.</w:t>
      </w:r>
    </w:p>
    <w:p>
      <w:pPr>
        <w:pStyle w:val="BodyText"/>
        <w:spacing w:line="261" w:lineRule="auto" w:before="137"/>
        <w:ind w:left="391" w:right="131" w:firstLine="9"/>
        <w:jc w:val="left"/>
      </w:pPr>
      <w:r>
        <w:rPr/>
        <w:t>All workers are encouraged to stay at home when ill, when having to care for ill family members, or when caring for children when schools close, without fear of</w:t>
      </w:r>
      <w:r>
        <w:rPr>
          <w:spacing w:val="12"/>
        </w:rPr>
        <w:t> </w:t>
      </w:r>
      <w:r>
        <w:rPr/>
        <w:t>reprisal.</w:t>
      </w:r>
    </w:p>
    <w:p>
      <w:pPr>
        <w:pStyle w:val="BodyText"/>
        <w:spacing w:line="240" w:lineRule="auto" w:before="116"/>
        <w:ind w:left="395" w:right="131"/>
        <w:jc w:val="left"/>
      </w:pPr>
      <w:r>
        <w:rPr/>
        <w:t>Tele-commuting and other work at home strategies will be developed based on an individual</w:t>
      </w:r>
      <w:r>
        <w:rPr>
          <w:spacing w:val="14"/>
        </w:rPr>
        <w:t> </w:t>
      </w:r>
      <w:r>
        <w:rPr/>
        <w:t>basis.</w:t>
      </w:r>
    </w:p>
    <w:p>
      <w:pPr>
        <w:pStyle w:val="Heading2"/>
        <w:spacing w:line="240" w:lineRule="auto"/>
        <w:ind w:right="131"/>
        <w:jc w:val="left"/>
      </w:pPr>
      <w:r>
        <w:rPr>
          <w:w w:val="110"/>
        </w:rPr>
        <w:t>Business Continuity</w:t>
      </w:r>
      <w:r>
        <w:rPr>
          <w:spacing w:val="65"/>
          <w:w w:val="110"/>
        </w:rPr>
        <w:t> </w:t>
      </w:r>
      <w:r>
        <w:rPr>
          <w:w w:val="110"/>
        </w:rPr>
        <w:t>Plans</w:t>
      </w:r>
      <w:r>
        <w:rPr/>
      </w:r>
    </w:p>
    <w:p>
      <w:pPr>
        <w:pStyle w:val="BodyText"/>
        <w:spacing w:line="261" w:lineRule="auto" w:before="141"/>
        <w:ind w:left="400" w:right="272" w:firstLine="9"/>
        <w:jc w:val="left"/>
      </w:pPr>
      <w:r>
        <w:rPr/>
        <w:t>In the event that a large percentage of personnel become ill, ACCO Engineered Systems, Inc. will develop a strategy for continuation of work</w:t>
      </w:r>
      <w:r>
        <w:rPr>
          <w:spacing w:val="-22"/>
        </w:rPr>
        <w:t> </w:t>
      </w:r>
      <w:r>
        <w:rPr/>
        <w:t>operations.</w:t>
      </w:r>
    </w:p>
    <w:p>
      <w:pPr>
        <w:pStyle w:val="BodyText"/>
        <w:spacing w:line="256" w:lineRule="auto" w:before="116"/>
        <w:ind w:right="136" w:hanging="5"/>
        <w:jc w:val="left"/>
      </w:pPr>
      <w:r>
        <w:rPr/>
        <w:t>Business continuity plans will be prepared so that if significant absenteeism or changes in business practices are required, business operations can be effectively</w:t>
      </w:r>
      <w:r>
        <w:rPr>
          <w:spacing w:val="-11"/>
        </w:rPr>
        <w:t> </w:t>
      </w:r>
      <w:r>
        <w:rPr/>
        <w:t>maintained.</w:t>
      </w:r>
    </w:p>
    <w:p>
      <w:pPr>
        <w:pStyle w:val="Heading2"/>
        <w:spacing w:line="240" w:lineRule="auto" w:before="122"/>
        <w:ind w:right="131"/>
        <w:jc w:val="left"/>
      </w:pPr>
      <w:r>
        <w:rPr>
          <w:w w:val="110"/>
        </w:rPr>
        <w:t>Immunizations</w:t>
      </w:r>
      <w:r>
        <w:rPr/>
      </w:r>
    </w:p>
    <w:p>
      <w:pPr>
        <w:pStyle w:val="BodyText"/>
        <w:spacing w:line="256" w:lineRule="auto" w:before="150"/>
        <w:ind w:right="165" w:hanging="10"/>
        <w:jc w:val="left"/>
      </w:pPr>
      <w:r>
        <w:rPr/>
        <w:t>ACCO Engineered Systems, Inc. encourages all employees to obtain appropriate immunizations to help avoid disease. Granting time off work to obtain the vaccine will be considered when vaccines become available in the</w:t>
      </w:r>
      <w:r>
        <w:rPr>
          <w:spacing w:val="-28"/>
        </w:rPr>
        <w:t> </w:t>
      </w:r>
      <w:r>
        <w:rPr/>
        <w:t>community.</w:t>
      </w:r>
    </w:p>
    <w:p>
      <w:pPr>
        <w:spacing w:after="0" w:line="256" w:lineRule="auto"/>
        <w:jc w:val="left"/>
        <w:sectPr>
          <w:type w:val="continuous"/>
          <w:pgSz w:w="12240" w:h="15840"/>
          <w:pgMar w:top="1380" w:bottom="1540" w:left="1260" w:right="1220"/>
        </w:sectPr>
      </w:pPr>
    </w:p>
    <w:p>
      <w:pPr>
        <w:pStyle w:val="Heading1"/>
        <w:tabs>
          <w:tab w:pos="4648" w:val="left" w:leader="none"/>
        </w:tabs>
        <w:spacing w:line="240" w:lineRule="auto" w:before="37"/>
        <w:ind w:left="175" w:right="0"/>
        <w:jc w:val="left"/>
      </w:pPr>
      <w:r>
        <w:rPr>
          <w:w w:val="99"/>
        </w:rPr>
      </w:r>
      <w:r>
        <w:rPr>
          <w:w w:val="99"/>
          <w:u w:val="single" w:color="000000"/>
        </w:rPr>
        <w:t> </w:t>
      </w:r>
      <w:r>
        <w:rPr>
          <w:u w:val="single" w:color="000000"/>
        </w:rPr>
        <w:tab/>
        <w:t>ACCO</w:t>
      </w:r>
      <w:r>
        <w:rPr>
          <w:spacing w:val="-35"/>
          <w:u w:val="single" w:color="000000"/>
        </w:rPr>
        <w:t> </w:t>
      </w:r>
      <w:r>
        <w:rPr>
          <w:u w:val="single" w:color="000000"/>
        </w:rPr>
        <w:t>ENGINEERED</w:t>
      </w:r>
      <w:r>
        <w:rPr>
          <w:spacing w:val="-36"/>
          <w:u w:val="single" w:color="000000"/>
        </w:rPr>
        <w:t> </w:t>
      </w:r>
      <w:r>
        <w:rPr>
          <w:u w:val="single" w:color="000000"/>
        </w:rPr>
        <w:t>SYSTEMS,</w:t>
      </w:r>
      <w:r>
        <w:rPr>
          <w:spacing w:val="-36"/>
          <w:u w:val="single" w:color="000000"/>
        </w:rPr>
        <w:t> </w:t>
      </w:r>
      <w:r>
        <w:rPr>
          <w:u w:val="single" w:color="000000"/>
        </w:rPr>
        <w:t>INC.</w:t>
      </w:r>
      <w:r>
        <w:rPr>
          <w:spacing w:val="-47"/>
          <w:u w:val="single" w:color="000000"/>
        </w:rPr>
        <w:t> </w:t>
      </w:r>
      <w:r>
        <w:rPr>
          <w:u w:val="single" w:color="000000"/>
        </w:rPr>
        <w:t>HSE</w:t>
      </w:r>
      <w:r>
        <w:rPr/>
      </w:r>
    </w:p>
    <w:p>
      <w:pPr>
        <w:pStyle w:val="Heading2"/>
        <w:spacing w:line="240" w:lineRule="auto" w:before="147"/>
        <w:ind w:left="458" w:right="131"/>
        <w:jc w:val="left"/>
      </w:pPr>
      <w:r>
        <w:rPr>
          <w:w w:val="110"/>
        </w:rPr>
        <w:t>Internal Communication</w:t>
      </w:r>
      <w:r>
        <w:rPr>
          <w:spacing w:val="26"/>
          <w:w w:val="110"/>
        </w:rPr>
        <w:t> </w:t>
      </w:r>
      <w:r>
        <w:rPr>
          <w:w w:val="110"/>
        </w:rPr>
        <w:t>Procedures</w:t>
      </w:r>
      <w:r>
        <w:rPr/>
      </w:r>
    </w:p>
    <w:p>
      <w:pPr>
        <w:pStyle w:val="BodyText"/>
        <w:spacing w:line="256" w:lineRule="auto" w:before="141"/>
        <w:ind w:left="444" w:right="861" w:hanging="5"/>
        <w:jc w:val="left"/>
      </w:pPr>
      <w:r>
        <w:rPr/>
        <w:t>To ensure proper internal communication ACCO Engineered Systems, Inc. will develop the following:</w:t>
      </w:r>
    </w:p>
    <w:p>
      <w:pPr>
        <w:pStyle w:val="ListParagraph"/>
        <w:numPr>
          <w:ilvl w:val="0"/>
          <w:numId w:val="1"/>
        </w:numPr>
        <w:tabs>
          <w:tab w:pos="728" w:val="left" w:leader="none"/>
        </w:tabs>
        <w:spacing w:line="240" w:lineRule="auto" w:before="131" w:after="0"/>
        <w:ind w:left="727" w:right="0" w:hanging="288"/>
        <w:jc w:val="left"/>
        <w:rPr>
          <w:rFonts w:ascii="Arial" w:hAnsi="Arial" w:cs="Arial" w:eastAsia="Arial" w:hint="default"/>
          <w:sz w:val="21"/>
          <w:szCs w:val="21"/>
        </w:rPr>
      </w:pPr>
      <w:r>
        <w:rPr>
          <w:rFonts w:ascii="Arial"/>
          <w:sz w:val="21"/>
        </w:rPr>
        <w:t>Key</w:t>
      </w:r>
      <w:r>
        <w:rPr>
          <w:rFonts w:ascii="Arial"/>
          <w:spacing w:val="-31"/>
          <w:sz w:val="21"/>
        </w:rPr>
        <w:t> </w:t>
      </w:r>
      <w:r>
        <w:rPr>
          <w:rFonts w:ascii="Arial"/>
          <w:sz w:val="21"/>
        </w:rPr>
        <w:t>contacts</w:t>
      </w:r>
    </w:p>
    <w:p>
      <w:pPr>
        <w:pStyle w:val="ListParagraph"/>
        <w:numPr>
          <w:ilvl w:val="0"/>
          <w:numId w:val="1"/>
        </w:numPr>
        <w:tabs>
          <w:tab w:pos="713" w:val="left" w:leader="none"/>
        </w:tabs>
        <w:spacing w:line="240" w:lineRule="auto" w:before="37" w:after="0"/>
        <w:ind w:left="712" w:right="0" w:hanging="278"/>
        <w:jc w:val="left"/>
        <w:rPr>
          <w:rFonts w:ascii="Arial" w:hAnsi="Arial" w:cs="Arial" w:eastAsia="Arial" w:hint="default"/>
          <w:sz w:val="21"/>
          <w:szCs w:val="21"/>
        </w:rPr>
      </w:pPr>
      <w:r>
        <w:rPr>
          <w:rFonts w:ascii="Arial"/>
          <w:sz w:val="21"/>
        </w:rPr>
        <w:t>A chain of</w:t>
      </w:r>
      <w:r>
        <w:rPr>
          <w:rFonts w:ascii="Arial"/>
          <w:spacing w:val="-22"/>
          <w:sz w:val="21"/>
        </w:rPr>
        <w:t> </w:t>
      </w:r>
      <w:r>
        <w:rPr>
          <w:rFonts w:ascii="Arial"/>
          <w:sz w:val="21"/>
        </w:rPr>
        <w:t>communications</w:t>
      </w:r>
    </w:p>
    <w:p>
      <w:pPr>
        <w:pStyle w:val="ListParagraph"/>
        <w:numPr>
          <w:ilvl w:val="0"/>
          <w:numId w:val="1"/>
        </w:numPr>
        <w:tabs>
          <w:tab w:pos="718" w:val="left" w:leader="none"/>
        </w:tabs>
        <w:spacing w:line="240" w:lineRule="auto" w:before="37" w:after="0"/>
        <w:ind w:left="717" w:right="0" w:hanging="283"/>
        <w:jc w:val="left"/>
        <w:rPr>
          <w:rFonts w:ascii="Arial" w:hAnsi="Arial" w:cs="Arial" w:eastAsia="Arial" w:hint="default"/>
          <w:sz w:val="21"/>
          <w:szCs w:val="21"/>
        </w:rPr>
      </w:pPr>
      <w:r>
        <w:rPr>
          <w:rFonts w:ascii="Arial"/>
          <w:sz w:val="21"/>
        </w:rPr>
        <w:t>Contact numbers for</w:t>
      </w:r>
      <w:r>
        <w:rPr>
          <w:rFonts w:ascii="Arial"/>
          <w:spacing w:val="-20"/>
          <w:sz w:val="21"/>
        </w:rPr>
        <w:t> </w:t>
      </w:r>
      <w:r>
        <w:rPr>
          <w:rFonts w:ascii="Arial"/>
          <w:sz w:val="21"/>
        </w:rPr>
        <w:t>employees</w:t>
      </w:r>
    </w:p>
    <w:p>
      <w:pPr>
        <w:pStyle w:val="ListParagraph"/>
        <w:numPr>
          <w:ilvl w:val="0"/>
          <w:numId w:val="1"/>
        </w:numPr>
        <w:tabs>
          <w:tab w:pos="718" w:val="left" w:leader="none"/>
        </w:tabs>
        <w:spacing w:line="240" w:lineRule="auto" w:before="37" w:after="0"/>
        <w:ind w:left="717" w:right="0" w:hanging="288"/>
        <w:jc w:val="left"/>
        <w:rPr>
          <w:rFonts w:ascii="Arial" w:hAnsi="Arial" w:cs="Arial" w:eastAsia="Arial" w:hint="default"/>
          <w:sz w:val="21"/>
          <w:szCs w:val="21"/>
        </w:rPr>
      </w:pPr>
      <w:r>
        <w:rPr>
          <w:rFonts w:ascii="Arial"/>
          <w:sz w:val="21"/>
        </w:rPr>
        <w:t>Processes for tracking</w:t>
      </w:r>
      <w:r>
        <w:rPr>
          <w:rFonts w:ascii="Arial"/>
          <w:spacing w:val="-17"/>
          <w:sz w:val="21"/>
        </w:rPr>
        <w:t> </w:t>
      </w:r>
      <w:r>
        <w:rPr>
          <w:rFonts w:ascii="Arial"/>
          <w:sz w:val="21"/>
        </w:rPr>
        <w:t>business</w:t>
      </w:r>
    </w:p>
    <w:p>
      <w:pPr>
        <w:pStyle w:val="ListParagraph"/>
        <w:numPr>
          <w:ilvl w:val="0"/>
          <w:numId w:val="1"/>
        </w:numPr>
        <w:tabs>
          <w:tab w:pos="718" w:val="left" w:leader="none"/>
        </w:tabs>
        <w:spacing w:line="240" w:lineRule="auto" w:before="32" w:after="0"/>
        <w:ind w:left="717" w:right="0" w:hanging="288"/>
        <w:jc w:val="left"/>
        <w:rPr>
          <w:rFonts w:ascii="Arial" w:hAnsi="Arial" w:cs="Arial" w:eastAsia="Arial" w:hint="default"/>
          <w:sz w:val="21"/>
          <w:szCs w:val="21"/>
        </w:rPr>
      </w:pPr>
      <w:r>
        <w:rPr>
          <w:rFonts w:ascii="Arial"/>
          <w:sz w:val="21"/>
        </w:rPr>
        <w:t>Employee</w:t>
      </w:r>
      <w:r>
        <w:rPr>
          <w:rFonts w:ascii="Arial"/>
          <w:spacing w:val="-22"/>
          <w:sz w:val="21"/>
        </w:rPr>
        <w:t> </w:t>
      </w:r>
      <w:r>
        <w:rPr>
          <w:rFonts w:ascii="Arial"/>
          <w:sz w:val="21"/>
        </w:rPr>
        <w:t>status</w:t>
      </w:r>
    </w:p>
    <w:p>
      <w:pPr>
        <w:pStyle w:val="Heading2"/>
        <w:spacing w:line="240" w:lineRule="auto"/>
        <w:ind w:left="439" w:right="131"/>
        <w:jc w:val="left"/>
      </w:pPr>
      <w:r>
        <w:rPr>
          <w:w w:val="110"/>
        </w:rPr>
        <w:t>External Customer</w:t>
      </w:r>
      <w:r>
        <w:rPr>
          <w:spacing w:val="13"/>
          <w:w w:val="110"/>
        </w:rPr>
        <w:t> </w:t>
      </w:r>
      <w:r>
        <w:rPr>
          <w:w w:val="110"/>
        </w:rPr>
        <w:t>Communications</w:t>
      </w:r>
      <w:r>
        <w:rPr/>
      </w:r>
    </w:p>
    <w:p>
      <w:pPr>
        <w:pStyle w:val="BodyText"/>
        <w:spacing w:line="259" w:lineRule="auto" w:before="145"/>
        <w:ind w:left="424" w:right="323"/>
        <w:jc w:val="left"/>
      </w:pPr>
      <w:r>
        <w:rPr/>
        <w:t>To ensure effective external/customer communications ACCO Engineered Systems, Inc. has developed a procedure to notify key contacts including both customers and suppliers in the</w:t>
      </w:r>
      <w:r>
        <w:rPr>
          <w:spacing w:val="-8"/>
        </w:rPr>
        <w:t> </w:t>
      </w:r>
      <w:r>
        <w:rPr/>
        <w:t>event </w:t>
      </w:r>
      <w:r>
        <w:rPr/>
        <w:t>an outbreak has impacted the company's ability to perform services. The procedure will include notification to customer and suppliers when operations</w:t>
      </w:r>
      <w:r>
        <w:rPr>
          <w:spacing w:val="-16"/>
        </w:rPr>
        <w:t> </w:t>
      </w:r>
      <w:r>
        <w:rPr/>
        <w:t>resume.</w:t>
      </w:r>
    </w:p>
    <w:p>
      <w:pPr>
        <w:pStyle w:val="Heading2"/>
        <w:spacing w:line="240" w:lineRule="auto" w:before="124"/>
        <w:ind w:left="420" w:right="131"/>
        <w:jc w:val="left"/>
      </w:pPr>
      <w:r>
        <w:rPr>
          <w:w w:val="110"/>
        </w:rPr>
        <w:t>Social</w:t>
      </w:r>
      <w:r>
        <w:rPr>
          <w:spacing w:val="24"/>
          <w:w w:val="110"/>
        </w:rPr>
        <w:t> </w:t>
      </w:r>
      <w:r>
        <w:rPr>
          <w:w w:val="110"/>
        </w:rPr>
        <w:t>Distancing</w:t>
      </w:r>
      <w:r>
        <w:rPr/>
      </w:r>
    </w:p>
    <w:p>
      <w:pPr>
        <w:pStyle w:val="BodyText"/>
        <w:spacing w:line="256" w:lineRule="auto" w:before="150"/>
        <w:ind w:right="327" w:firstLine="14"/>
        <w:jc w:val="left"/>
      </w:pPr>
      <w:r>
        <w:rPr/>
        <w:t>In the event that an outbreak or increased level of disease is in progress it is the determination of ACCO Engineered Systems, Inc. to limit large or crowded gatherings of</w:t>
      </w:r>
      <w:r>
        <w:rPr>
          <w:spacing w:val="-1"/>
        </w:rPr>
        <w:t> </w:t>
      </w:r>
      <w:r>
        <w:rPr/>
        <w:t>personnel.</w:t>
      </w:r>
    </w:p>
    <w:p>
      <w:pPr>
        <w:pStyle w:val="BodyText"/>
        <w:spacing w:line="256" w:lineRule="auto" w:before="116"/>
        <w:ind w:right="139" w:firstLine="4"/>
        <w:jc w:val="left"/>
      </w:pPr>
      <w:r>
        <w:rPr/>
        <w:t>Social Distancing including the space between employee work areas and decreasing the possibility of contact will be</w:t>
      </w:r>
      <w:r>
        <w:rPr>
          <w:spacing w:val="-14"/>
        </w:rPr>
        <w:t> </w:t>
      </w:r>
      <w:r>
        <w:rPr/>
        <w:t>considered.</w:t>
      </w:r>
    </w:p>
    <w:p>
      <w:pPr>
        <w:pStyle w:val="Heading2"/>
        <w:spacing w:line="240" w:lineRule="auto" w:before="131"/>
        <w:ind w:left="420" w:right="131"/>
        <w:jc w:val="left"/>
      </w:pPr>
      <w:r>
        <w:rPr>
          <w:w w:val="110"/>
        </w:rPr>
        <w:t>Routine</w:t>
      </w:r>
      <w:r>
        <w:rPr>
          <w:spacing w:val="-6"/>
          <w:w w:val="110"/>
        </w:rPr>
        <w:t> </w:t>
      </w:r>
      <w:r>
        <w:rPr>
          <w:w w:val="110"/>
        </w:rPr>
        <w:t>Cleaning</w:t>
      </w:r>
      <w:r>
        <w:rPr/>
      </w:r>
    </w:p>
    <w:p>
      <w:pPr>
        <w:pStyle w:val="BodyText"/>
        <w:spacing w:line="240" w:lineRule="auto" w:before="141"/>
        <w:ind w:left="420" w:right="131"/>
        <w:jc w:val="left"/>
      </w:pPr>
      <w:r>
        <w:rPr/>
        <w:t>It is the policy of ACCO Engineered Systems, Inc. to do periodic routine</w:t>
      </w:r>
      <w:r>
        <w:rPr>
          <w:spacing w:val="-15"/>
        </w:rPr>
        <w:t> </w:t>
      </w:r>
      <w:r>
        <w:rPr/>
        <w:t>cleaning.</w:t>
      </w:r>
    </w:p>
    <w:p>
      <w:pPr>
        <w:pStyle w:val="BodyText"/>
        <w:spacing w:line="259" w:lineRule="auto" w:before="137"/>
        <w:ind w:left="405" w:right="481"/>
        <w:jc w:val="left"/>
      </w:pPr>
      <w:r>
        <w:rPr/>
        <w:t>All areas that are likely to have frequent hand contact are cleaned routinely and when visibly soiled. Work surfaces are also cleaned frequently using normal cleaning products. Examples of areas to be cleaned include the</w:t>
      </w:r>
      <w:r>
        <w:rPr>
          <w:spacing w:val="-23"/>
        </w:rPr>
        <w:t> </w:t>
      </w:r>
      <w:r>
        <w:rPr/>
        <w:t>following:</w:t>
      </w:r>
    </w:p>
    <w:p>
      <w:pPr>
        <w:pStyle w:val="BodyText"/>
        <w:spacing w:line="240" w:lineRule="auto" w:before="119"/>
        <w:ind w:right="131"/>
        <w:jc w:val="left"/>
      </w:pPr>
      <w:r>
        <w:rPr/>
        <w:t>Desktops, keyboards, lunch tables, doorknobs, faucets, handrails water fountain,</w:t>
      </w:r>
      <w:r>
        <w:rPr>
          <w:spacing w:val="13"/>
        </w:rPr>
        <w:t> </w:t>
      </w:r>
      <w:r>
        <w:rPr/>
        <w:t>Etc.</w:t>
      </w:r>
    </w:p>
    <w:p>
      <w:pPr>
        <w:pStyle w:val="Heading2"/>
        <w:spacing w:line="240" w:lineRule="auto" w:before="148"/>
        <w:ind w:right="131"/>
        <w:jc w:val="left"/>
      </w:pPr>
      <w:r>
        <w:rPr>
          <w:w w:val="110"/>
        </w:rPr>
        <w:t>Plan, Emergency Communication Test and Lessons</w:t>
      </w:r>
      <w:r>
        <w:rPr>
          <w:spacing w:val="31"/>
          <w:w w:val="110"/>
        </w:rPr>
        <w:t> </w:t>
      </w:r>
      <w:r>
        <w:rPr>
          <w:w w:val="110"/>
        </w:rPr>
        <w:t>Learned</w:t>
      </w:r>
      <w:r>
        <w:rPr/>
      </w:r>
    </w:p>
    <w:p>
      <w:pPr>
        <w:pStyle w:val="BodyText"/>
        <w:spacing w:line="261" w:lineRule="auto" w:before="136"/>
        <w:ind w:left="400" w:right="269" w:hanging="5"/>
        <w:jc w:val="left"/>
      </w:pPr>
      <w:r>
        <w:rPr/>
        <w:t>The Plan and Emergency Communications strategies are tested in a tabletop exercise annually to ensure that they are effective. Following a pandemic event, the person responsible for implementation of the plan should identify learning opportunities and take action to implement any corrective</w:t>
      </w:r>
      <w:r>
        <w:rPr>
          <w:spacing w:val="-15"/>
        </w:rPr>
        <w:t> </w:t>
      </w:r>
      <w:r>
        <w:rPr/>
        <w:t>actions.</w:t>
      </w:r>
    </w:p>
    <w:p>
      <w:pPr>
        <w:pStyle w:val="Heading1"/>
        <w:spacing w:line="240" w:lineRule="auto" w:before="122"/>
        <w:ind w:left="127" w:right="131"/>
        <w:jc w:val="left"/>
      </w:pPr>
      <w:r>
        <w:rPr/>
        <w:t>TRAINING</w:t>
      </w:r>
    </w:p>
    <w:p>
      <w:pPr>
        <w:pStyle w:val="BodyText"/>
        <w:spacing w:line="261" w:lineRule="auto" w:before="146"/>
        <w:ind w:left="127" w:right="303" w:hanging="5"/>
        <w:jc w:val="left"/>
      </w:pPr>
      <w:r>
        <w:rPr/>
        <w:t>ACCO Engineered Systems, Inc. will provide periodic training on illness prevention, how to avoid the spread of disease, and company policies concerning</w:t>
      </w:r>
      <w:r>
        <w:rPr>
          <w:spacing w:val="-3"/>
        </w:rPr>
        <w:t> </w:t>
      </w:r>
      <w:r>
        <w:rPr/>
        <w:t>illness.</w:t>
      </w:r>
    </w:p>
    <w:p>
      <w:pPr>
        <w:pStyle w:val="BodyText"/>
        <w:spacing w:line="256" w:lineRule="auto" w:before="112"/>
        <w:ind w:left="131" w:right="537" w:firstLine="4"/>
        <w:jc w:val="left"/>
      </w:pPr>
      <w:r>
        <w:rPr/>
        <w:t>Employees will be trained on the following: health issues; initial disease symptoms; preventing</w:t>
      </w:r>
      <w:r>
        <w:rPr>
          <w:spacing w:val="-14"/>
        </w:rPr>
        <w:t> </w:t>
      </w:r>
      <w:r>
        <w:rPr/>
        <w:t>the </w:t>
      </w:r>
      <w:r>
        <w:rPr/>
        <w:t>spread of the disease; and when it’s appropriate to return to</w:t>
      </w:r>
      <w:r>
        <w:rPr>
          <w:spacing w:val="-26"/>
        </w:rPr>
        <w:t> </w:t>
      </w:r>
      <w:r>
        <w:rPr/>
        <w:t>work.</w:t>
      </w:r>
    </w:p>
    <w:p>
      <w:pPr>
        <w:pStyle w:val="BodyText"/>
        <w:spacing w:line="261" w:lineRule="auto" w:before="121"/>
        <w:ind w:left="131" w:right="399"/>
        <w:jc w:val="left"/>
      </w:pPr>
      <w:r>
        <w:rPr/>
        <w:t>Communicating information with non-English speaking employees or those with disabilities must be considered.</w:t>
      </w:r>
    </w:p>
    <w:p>
      <w:pPr>
        <w:spacing w:after="0" w:line="261" w:lineRule="auto"/>
        <w:jc w:val="left"/>
        <w:sectPr>
          <w:headerReference w:type="default" r:id="rId7"/>
          <w:pgSz w:w="12240" w:h="15840"/>
          <w:pgMar w:header="0" w:footer="1340" w:top="1020" w:bottom="1540" w:left="1260" w:right="1220"/>
        </w:sectPr>
      </w:pPr>
    </w:p>
    <w:p>
      <w:pPr>
        <w:spacing w:before="157"/>
        <w:ind w:left="3999" w:right="3950" w:firstLine="0"/>
        <w:jc w:val="center"/>
        <w:rPr>
          <w:rFonts w:ascii="Arial" w:hAnsi="Arial" w:cs="Arial" w:eastAsia="Arial" w:hint="default"/>
          <w:sz w:val="18"/>
          <w:szCs w:val="18"/>
        </w:rPr>
      </w:pPr>
      <w:r>
        <w:rPr>
          <w:rFonts w:ascii="Arial"/>
          <w:sz w:val="18"/>
        </w:rPr>
        <w:t>TRAINING </w:t>
      </w:r>
      <w:r>
        <w:rPr>
          <w:rFonts w:ascii="Arial"/>
          <w:spacing w:val="29"/>
          <w:sz w:val="18"/>
        </w:rPr>
        <w:t> </w:t>
      </w:r>
      <w:r>
        <w:rPr>
          <w:rFonts w:ascii="Arial"/>
          <w:sz w:val="18"/>
        </w:rPr>
        <w:t>RECORD</w:t>
      </w:r>
    </w:p>
    <w:p>
      <w:pPr>
        <w:spacing w:line="240" w:lineRule="auto" w:before="6"/>
        <w:ind w:right="0"/>
        <w:rPr>
          <w:rFonts w:ascii="Arial" w:hAnsi="Arial" w:cs="Arial" w:eastAsia="Arial" w:hint="default"/>
          <w:sz w:val="12"/>
          <w:szCs w:val="12"/>
        </w:rPr>
      </w:pPr>
    </w:p>
    <w:tbl>
      <w:tblPr>
        <w:tblW w:w="0" w:type="auto"/>
        <w:jc w:val="left"/>
        <w:tblInd w:w="112" w:type="dxa"/>
        <w:tblLayout w:type="fixed"/>
        <w:tblCellMar>
          <w:top w:w="0" w:type="dxa"/>
          <w:left w:w="0" w:type="dxa"/>
          <w:bottom w:w="0" w:type="dxa"/>
          <w:right w:w="0" w:type="dxa"/>
        </w:tblCellMar>
        <w:tblLook w:val="01E0"/>
      </w:tblPr>
      <w:tblGrid>
        <w:gridCol w:w="4474"/>
        <w:gridCol w:w="4502"/>
      </w:tblGrid>
      <w:tr>
        <w:trPr>
          <w:trHeight w:val="475" w:hRule="exact"/>
        </w:trPr>
        <w:tc>
          <w:tcPr>
            <w:tcW w:w="8976" w:type="dxa"/>
            <w:gridSpan w:val="2"/>
            <w:tcBorders>
              <w:top w:val="single" w:sz="6" w:space="0" w:color="000000"/>
              <w:left w:val="single" w:sz="6" w:space="0" w:color="000000"/>
              <w:bottom w:val="single" w:sz="6" w:space="0" w:color="000000"/>
              <w:right w:val="single" w:sz="6" w:space="0" w:color="000000"/>
            </w:tcBorders>
          </w:tcPr>
          <w:p>
            <w:pPr>
              <w:pStyle w:val="TableParagraph"/>
              <w:spacing w:line="240" w:lineRule="auto" w:before="114"/>
              <w:ind w:left="129" w:right="0"/>
              <w:jc w:val="left"/>
              <w:rPr>
                <w:rFonts w:ascii="Trebuchet MS" w:hAnsi="Trebuchet MS" w:cs="Trebuchet MS" w:eastAsia="Trebuchet MS" w:hint="default"/>
                <w:sz w:val="19"/>
                <w:szCs w:val="19"/>
              </w:rPr>
            </w:pPr>
            <w:r>
              <w:rPr>
                <w:rFonts w:ascii="Trebuchet MS"/>
                <w:sz w:val="19"/>
              </w:rPr>
              <w:t>Trainer:</w:t>
            </w: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Style w:val="TableParagraph"/>
              <w:spacing w:line="240" w:lineRule="auto" w:before="100"/>
              <w:ind w:left="129" w:right="0"/>
              <w:jc w:val="left"/>
              <w:rPr>
                <w:rFonts w:ascii="Arial" w:hAnsi="Arial" w:cs="Arial" w:eastAsia="Arial" w:hint="default"/>
                <w:sz w:val="19"/>
                <w:szCs w:val="19"/>
              </w:rPr>
            </w:pPr>
            <w:r>
              <w:rPr>
                <w:rFonts w:ascii="Arial"/>
                <w:w w:val="110"/>
                <w:sz w:val="19"/>
              </w:rPr>
              <w:t>Signature:</w:t>
            </w:r>
            <w:r>
              <w:rPr>
                <w:rFonts w:ascii="Arial"/>
                <w:sz w:val="19"/>
              </w:rPr>
            </w: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Style w:val="TableParagraph"/>
              <w:spacing w:line="240" w:lineRule="auto" w:before="100"/>
              <w:ind w:left="129" w:right="0"/>
              <w:jc w:val="left"/>
              <w:rPr>
                <w:rFonts w:ascii="Arial" w:hAnsi="Arial" w:cs="Arial" w:eastAsia="Arial" w:hint="default"/>
                <w:sz w:val="19"/>
                <w:szCs w:val="19"/>
              </w:rPr>
            </w:pPr>
            <w:r>
              <w:rPr>
                <w:rFonts w:ascii="Arial"/>
                <w:w w:val="105"/>
                <w:sz w:val="19"/>
              </w:rPr>
              <w:t>Date:</w:t>
            </w:r>
            <w:r>
              <w:rPr>
                <w:rFonts w:ascii="Arial"/>
                <w:sz w:val="19"/>
              </w:rPr>
            </w: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Style w:val="TableParagraph"/>
              <w:spacing w:line="240" w:lineRule="auto" w:before="109"/>
              <w:ind w:left="10" w:right="0"/>
              <w:jc w:val="center"/>
              <w:rPr>
                <w:rFonts w:ascii="Arial" w:hAnsi="Arial" w:cs="Arial" w:eastAsia="Arial" w:hint="default"/>
                <w:sz w:val="18"/>
                <w:szCs w:val="18"/>
              </w:rPr>
            </w:pPr>
            <w:r>
              <w:rPr>
                <w:rFonts w:ascii="Arial"/>
                <w:w w:val="115"/>
                <w:sz w:val="18"/>
              </w:rPr>
              <w:t>Content of</w:t>
            </w:r>
            <w:r>
              <w:rPr>
                <w:rFonts w:ascii="Arial"/>
                <w:spacing w:val="-18"/>
                <w:w w:val="115"/>
                <w:sz w:val="18"/>
              </w:rPr>
              <w:t> </w:t>
            </w:r>
            <w:r>
              <w:rPr>
                <w:rFonts w:ascii="Arial"/>
                <w:w w:val="115"/>
                <w:sz w:val="18"/>
              </w:rPr>
              <w:t>Training:</w:t>
            </w:r>
            <w:r>
              <w:rPr>
                <w:rFonts w:ascii="Arial"/>
                <w:sz w:val="18"/>
              </w:rPr>
            </w: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
        </w:tc>
      </w:tr>
      <w:tr>
        <w:trPr>
          <w:trHeight w:val="466" w:hRule="exact"/>
        </w:trPr>
        <w:tc>
          <w:tcPr>
            <w:tcW w:w="8976" w:type="dxa"/>
            <w:gridSpan w:val="2"/>
            <w:tcBorders>
              <w:top w:val="single" w:sz="6" w:space="0" w:color="000000"/>
              <w:left w:val="single" w:sz="6" w:space="0" w:color="000000"/>
              <w:bottom w:val="single" w:sz="6" w:space="0" w:color="000000"/>
              <w:right w:val="single" w:sz="6" w:space="0" w:color="000000"/>
            </w:tcBorders>
          </w:tcPr>
          <w:p>
            <w:pPr/>
          </w:p>
        </w:tc>
      </w:tr>
      <w:tr>
        <w:trPr>
          <w:trHeight w:val="456" w:hRule="exact"/>
        </w:trPr>
        <w:tc>
          <w:tcPr>
            <w:tcW w:w="8976" w:type="dxa"/>
            <w:gridSpan w:val="2"/>
            <w:tcBorders>
              <w:top w:val="single" w:sz="6" w:space="0" w:color="000000"/>
              <w:left w:val="single" w:sz="6" w:space="0" w:color="000000"/>
              <w:bottom w:val="single" w:sz="6" w:space="0" w:color="000000"/>
              <w:right w:val="single" w:sz="6" w:space="0" w:color="000000"/>
            </w:tcBorders>
          </w:tcPr>
          <w:p>
            <w:pPr>
              <w:pStyle w:val="TableParagraph"/>
              <w:spacing w:line="240" w:lineRule="auto" w:before="94"/>
              <w:ind w:right="15"/>
              <w:jc w:val="center"/>
              <w:rPr>
                <w:rFonts w:ascii="Consolas" w:hAnsi="Consolas" w:cs="Consolas" w:eastAsia="Consolas" w:hint="default"/>
                <w:sz w:val="20"/>
                <w:szCs w:val="20"/>
              </w:rPr>
            </w:pPr>
            <w:r>
              <w:rPr>
                <w:rFonts w:ascii="Consolas"/>
                <w:sz w:val="20"/>
              </w:rPr>
              <w:t>Attendees</w:t>
            </w:r>
          </w:p>
        </w:tc>
      </w:tr>
      <w:tr>
        <w:trPr>
          <w:trHeight w:val="461" w:hRule="exact"/>
        </w:trPr>
        <w:tc>
          <w:tcPr>
            <w:tcW w:w="8976" w:type="dxa"/>
            <w:gridSpan w:val="2"/>
            <w:tcBorders>
              <w:top w:val="single" w:sz="6" w:space="0" w:color="000000"/>
              <w:left w:val="single" w:sz="6" w:space="0" w:color="000000"/>
              <w:bottom w:val="single" w:sz="6" w:space="0" w:color="000000"/>
              <w:right w:val="single" w:sz="6" w:space="0" w:color="000000"/>
            </w:tcBorders>
          </w:tcPr>
          <w:p>
            <w:pPr>
              <w:pStyle w:val="TableParagraph"/>
              <w:tabs>
                <w:tab w:pos="6244" w:val="left" w:leader="none"/>
              </w:tabs>
              <w:spacing w:line="240" w:lineRule="auto" w:before="109"/>
              <w:ind w:left="1708" w:right="0"/>
              <w:jc w:val="left"/>
              <w:rPr>
                <w:rFonts w:ascii="Arial" w:hAnsi="Arial" w:cs="Arial" w:eastAsia="Arial" w:hint="default"/>
                <w:sz w:val="19"/>
                <w:szCs w:val="19"/>
              </w:rPr>
            </w:pPr>
            <w:r>
              <w:rPr>
                <w:rFonts w:ascii="Arial"/>
                <w:w w:val="105"/>
                <w:sz w:val="19"/>
              </w:rPr>
              <w:t>Print</w:t>
            </w:r>
            <w:r>
              <w:rPr>
                <w:rFonts w:ascii="Arial"/>
                <w:spacing w:val="6"/>
                <w:w w:val="105"/>
                <w:sz w:val="19"/>
              </w:rPr>
              <w:t> </w:t>
            </w:r>
            <w:r>
              <w:rPr>
                <w:rFonts w:ascii="Arial"/>
                <w:w w:val="105"/>
                <w:sz w:val="19"/>
              </w:rPr>
              <w:t>Name:</w:t>
              <w:tab/>
              <w:t>Signature:</w:t>
            </w:r>
            <w:r>
              <w:rPr>
                <w:rFonts w:ascii="Arial"/>
                <w:sz w:val="19"/>
              </w:rPr>
            </w:r>
          </w:p>
        </w:tc>
      </w:tr>
      <w:tr>
        <w:trPr>
          <w:trHeight w:val="461"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61"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70"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61"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61"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51"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70"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51"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66"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61"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66"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56"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66"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r>
        <w:trPr>
          <w:trHeight w:val="470" w:hRule="exact"/>
        </w:trPr>
        <w:tc>
          <w:tcPr>
            <w:tcW w:w="4474" w:type="dxa"/>
            <w:tcBorders>
              <w:top w:val="single" w:sz="6" w:space="0" w:color="000000"/>
              <w:left w:val="single" w:sz="6" w:space="0" w:color="000000"/>
              <w:bottom w:val="single" w:sz="6" w:space="0" w:color="000000"/>
              <w:right w:val="single" w:sz="6" w:space="0" w:color="000000"/>
            </w:tcBorders>
          </w:tcPr>
          <w:p>
            <w:pPr/>
          </w:p>
        </w:tc>
        <w:tc>
          <w:tcPr>
            <w:tcW w:w="4502" w:type="dxa"/>
            <w:tcBorders>
              <w:top w:val="single" w:sz="6" w:space="0" w:color="000000"/>
              <w:left w:val="single" w:sz="6" w:space="0" w:color="000000"/>
              <w:bottom w:val="single" w:sz="6" w:space="0" w:color="000000"/>
              <w:right w:val="single" w:sz="6" w:space="0" w:color="000000"/>
            </w:tcBorders>
          </w:tcPr>
          <w:p>
            <w:pPr/>
          </w:p>
        </w:tc>
      </w:tr>
    </w:tbl>
    <w:p>
      <w:pPr>
        <w:spacing w:after="0"/>
        <w:sectPr>
          <w:headerReference w:type="default" r:id="rId8"/>
          <w:pgSz w:w="12240" w:h="15840"/>
          <w:pgMar w:header="1085" w:footer="1340" w:top="1380" w:bottom="1540" w:left="1260" w:right="1220"/>
        </w:sectPr>
      </w:pPr>
    </w:p>
    <w:p>
      <w:pPr>
        <w:spacing w:line="240" w:lineRule="auto" w:before="5"/>
        <w:ind w:right="0"/>
        <w:rPr>
          <w:rFonts w:ascii="Times New Roman" w:hAnsi="Times New Roman" w:cs="Times New Roman" w:eastAsia="Times New Roman" w:hint="default"/>
          <w:sz w:val="17"/>
          <w:szCs w:val="17"/>
        </w:rPr>
      </w:pPr>
    </w:p>
    <w:sectPr>
      <w:pgSz w:w="12240" w:h="15840"/>
      <w:pgMar w:header="1085" w:footer="1340" w:top="1380" w:bottom="1540" w:left="126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onsolas">
    <w:altName w:val="Consolas"/>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69.839996pt;margin-top:714.359985pt;width:475.2pt;height:.1pt;mso-position-horizontal-relative:page;mso-position-vertical-relative:page;z-index:-6352" coordorigin="1397,14287" coordsize="9504,2">
          <v:shape style="position:absolute;left:1397;top:14287;width:9504;height:2" coordorigin="1397,14287" coordsize="9504,0" path="m1397,14287l10901,14287e" filled="false" stroked="true" strokeweight=".72pt" strokecolor="#000000">
            <v:path arrowok="t"/>
          </v:shape>
          <w10:wrap type="none"/>
        </v:group>
      </w:pict>
    </w:r>
    <w:r>
      <w:rPr/>
      <w:pict>
        <v:shape style="position:absolute;margin-left:484.040009pt;margin-top:714.976868pt;width:62.65pt;height:24.25pt;mso-position-horizontal-relative:page;mso-position-vertical-relative:page;z-index:-6328" type="#_x0000_t202" filled="false" stroked="false">
          <v:textbox inset="0,0,0,0">
            <w:txbxContent>
              <w:p>
                <w:pPr>
                  <w:spacing w:line="229" w:lineRule="exact" w:before="0"/>
                  <w:ind w:left="384" w:right="0" w:firstLine="0"/>
                  <w:jc w:val="left"/>
                  <w:rPr>
                    <w:rFonts w:ascii="Arial" w:hAnsi="Arial" w:cs="Arial" w:eastAsia="Arial" w:hint="default"/>
                    <w:sz w:val="20"/>
                    <w:szCs w:val="20"/>
                  </w:rPr>
                </w:pPr>
                <w:r>
                  <w:rPr>
                    <w:rFonts w:ascii="Arial"/>
                    <w:w w:val="95"/>
                    <w:sz w:val="20"/>
                  </w:rPr>
                  <w:t>HSE</w:t>
                </w:r>
                <w:r>
                  <w:rPr>
                    <w:rFonts w:ascii="Arial"/>
                    <w:spacing w:val="-10"/>
                    <w:w w:val="95"/>
                    <w:sz w:val="20"/>
                  </w:rPr>
                  <w:t> </w:t>
                </w:r>
                <w:r>
                  <w:rPr>
                    <w:rFonts w:ascii="Arial"/>
                    <w:w w:val="95"/>
                    <w:sz w:val="20"/>
                  </w:rPr>
                  <w:t>60-</w:t>
                </w:r>
                <w:r>
                  <w:rPr/>
                  <w:fldChar w:fldCharType="begin"/>
                </w:r>
                <w:r>
                  <w:rPr>
                    <w:rFonts w:ascii="Arial"/>
                    <w:w w:val="95"/>
                    <w:sz w:val="20"/>
                  </w:rPr>
                  <w:instrText> PAGE </w:instrText>
                </w:r>
                <w:r>
                  <w:rPr/>
                  <w:fldChar w:fldCharType="separate"/>
                </w:r>
                <w:r>
                  <w:rPr/>
                  <w:t>2</w:t>
                </w:r>
                <w:r>
                  <w:rPr/>
                  <w:fldChar w:fldCharType="end"/>
                </w:r>
                <w:r>
                  <w:rPr>
                    <w:rFonts w:ascii="Arial"/>
                    <w:sz w:val="20"/>
                  </w:rPr>
                </w:r>
              </w:p>
              <w:p>
                <w:pPr>
                  <w:spacing w:before="10"/>
                  <w:ind w:left="20" w:right="0" w:firstLine="0"/>
                  <w:jc w:val="left"/>
                  <w:rPr>
                    <w:rFonts w:ascii="Arial" w:hAnsi="Arial" w:cs="Arial" w:eastAsia="Arial" w:hint="default"/>
                    <w:sz w:val="20"/>
                    <w:szCs w:val="20"/>
                  </w:rPr>
                </w:pPr>
                <w:r>
                  <w:rPr>
                    <w:rFonts w:ascii="Arial"/>
                    <w:w w:val="95"/>
                    <w:sz w:val="20"/>
                  </w:rPr>
                  <w:t>000-000-0000</w:t>
                </w:r>
                <w:r>
                  <w:rPr>
                    <w:rFonts w:ascii="Arial"/>
                    <w:sz w:val="20"/>
                  </w:rPr>
                </w:r>
              </w:p>
            </w:txbxContent>
          </v:textbox>
          <w10:wrap type="none"/>
        </v:shape>
      </w:pict>
    </w:r>
    <w:r>
      <w:rPr/>
      <w:pict>
        <v:shape style="position:absolute;margin-left:68.120003pt;margin-top:715.862pt;width:132.4pt;height:11.5pt;mso-position-horizontal-relative:page;mso-position-vertical-relative:page;z-index:-6304" type="#_x0000_t202" filled="false" stroked="false">
          <v:textbox inset="0,0,0,0">
            <w:txbxContent>
              <w:p>
                <w:pPr>
                  <w:spacing w:line="214" w:lineRule="exact" w:before="0"/>
                  <w:ind w:left="20" w:right="0" w:firstLine="0"/>
                  <w:jc w:val="left"/>
                  <w:rPr>
                    <w:rFonts w:ascii="Arial" w:hAnsi="Arial" w:cs="Arial" w:eastAsia="Arial" w:hint="default"/>
                    <w:sz w:val="19"/>
                    <w:szCs w:val="19"/>
                  </w:rPr>
                </w:pPr>
                <w:r>
                  <w:rPr>
                    <w:rFonts w:ascii="Arial"/>
                    <w:sz w:val="19"/>
                  </w:rPr>
                  <w:t>O SSC November-2019</w:t>
                </w:r>
                <w:r>
                  <w:rPr>
                    <w:rFonts w:ascii="Arial"/>
                    <w:spacing w:val="-4"/>
                    <w:sz w:val="19"/>
                  </w:rPr>
                  <w:t> </w:t>
                </w:r>
                <w:r>
                  <w:rPr>
                    <w:rFonts w:ascii="Arial"/>
                    <w:sz w:val="19"/>
                  </w:rPr>
                  <w:t>V2.6.1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71.519997pt;margin-top:69.239998pt;width:473.8pt;height:.1pt;mso-position-horizontal-relative:page;mso-position-vertical-relative:page;z-index:-6400" coordorigin="1430,1385" coordsize="9476,2">
          <v:shape style="position:absolute;left:1430;top:1385;width:9476;height:2" coordorigin="1430,1385" coordsize="9476,0" path="m1430,1385l10906,1385e" filled="false" stroked="true" strokeweight=".72pt" strokecolor="#000000">
            <v:path arrowok="t"/>
          </v:shape>
          <w10:wrap type="none"/>
        </v:group>
      </w:pict>
    </w:r>
    <w:r>
      <w:rPr/>
      <w:pict>
        <v:shapetype id="_x0000_t202" o:spt="202" coordsize="21600,21600" path="m,l,21600r21600,l21600,xe">
          <v:stroke joinstyle="miter"/>
          <v:path gradientshapeok="t" o:connecttype="rect"/>
        </v:shapetype>
        <v:shape style="position:absolute;margin-left:294.440002pt;margin-top:53.505909pt;width:251.35pt;height:15pt;mso-position-horizontal-relative:page;mso-position-vertical-relative:page;z-index:-6376"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ACCO</w:t>
                </w:r>
                <w:r>
                  <w:rPr>
                    <w:rFonts w:ascii="Arial"/>
                    <w:spacing w:val="-33"/>
                    <w:sz w:val="26"/>
                  </w:rPr>
                  <w:t> </w:t>
                </w:r>
                <w:r>
                  <w:rPr>
                    <w:rFonts w:ascii="Arial"/>
                    <w:sz w:val="26"/>
                  </w:rPr>
                  <w:t>ENGINEERED</w:t>
                </w:r>
                <w:r>
                  <w:rPr>
                    <w:rFonts w:ascii="Arial"/>
                    <w:spacing w:val="-34"/>
                    <w:sz w:val="26"/>
                  </w:rPr>
                  <w:t> </w:t>
                </w:r>
                <w:r>
                  <w:rPr>
                    <w:rFonts w:ascii="Arial"/>
                    <w:sz w:val="26"/>
                  </w:rPr>
                  <w:t>SYSTEMS,</w:t>
                </w:r>
                <w:r>
                  <w:rPr>
                    <w:rFonts w:ascii="Arial"/>
                    <w:spacing w:val="-34"/>
                    <w:sz w:val="26"/>
                  </w:rPr>
                  <w:t> </w:t>
                </w:r>
                <w:r>
                  <w:rPr>
                    <w:rFonts w:ascii="Arial"/>
                    <w:sz w:val="26"/>
                  </w:rPr>
                  <w:t>INC.</w:t>
                </w:r>
                <w:r>
                  <w:rPr>
                    <w:rFonts w:ascii="Arial"/>
                    <w:spacing w:val="-45"/>
                    <w:sz w:val="26"/>
                  </w:rPr>
                  <w:t> </w:t>
                </w:r>
                <w:r>
                  <w:rPr>
                    <w:rFonts w:ascii="Arial"/>
                    <w:sz w:val="26"/>
                  </w:rPr>
                  <w:t>HSE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70.799988pt;margin-top:69pt;width:473.8pt;height:.1pt;mso-position-horizontal-relative:page;mso-position-vertical-relative:page;z-index:-6280" coordorigin="1416,1380" coordsize="9476,2">
          <v:shape style="position:absolute;left:1416;top:1380;width:9476;height:2" coordorigin="1416,1380" coordsize="9476,0" path="m1416,1380l10891,1380e" filled="false" stroked="true" strokeweight=".72pt" strokecolor="#000000">
            <v:path arrowok="t"/>
          </v:shape>
          <w10:wrap type="none"/>
        </v:group>
      </w:pict>
    </w:r>
    <w:r>
      <w:rPr/>
      <w:pict>
        <v:shape style="position:absolute;margin-left:293.959991pt;margin-top:54.70591pt;width:251.15pt;height:15pt;mso-position-horizontal-relative:page;mso-position-vertical-relative:page;z-index:-6256" type="#_x0000_t202" filled="false" stroked="false">
          <v:textbox inset="0,0,0,0">
            <w:txbxContent>
              <w:p>
                <w:pPr>
                  <w:spacing w:line="286" w:lineRule="exact" w:before="0"/>
                  <w:ind w:left="20" w:right="0" w:firstLine="0"/>
                  <w:jc w:val="left"/>
                  <w:rPr>
                    <w:rFonts w:ascii="Arial" w:hAnsi="Arial" w:cs="Arial" w:eastAsia="Arial" w:hint="default"/>
                    <w:sz w:val="26"/>
                    <w:szCs w:val="26"/>
                  </w:rPr>
                </w:pPr>
                <w:r>
                  <w:rPr>
                    <w:rFonts w:ascii="Arial"/>
                    <w:sz w:val="26"/>
                  </w:rPr>
                  <w:t>ACCO</w:t>
                </w:r>
                <w:r>
                  <w:rPr>
                    <w:rFonts w:ascii="Arial"/>
                    <w:spacing w:val="-34"/>
                    <w:sz w:val="26"/>
                  </w:rPr>
                  <w:t> </w:t>
                </w:r>
                <w:r>
                  <w:rPr>
                    <w:rFonts w:ascii="Arial"/>
                    <w:sz w:val="26"/>
                  </w:rPr>
                  <w:t>ENGINEERED</w:t>
                </w:r>
                <w:r>
                  <w:rPr>
                    <w:rFonts w:ascii="Arial"/>
                    <w:spacing w:val="-37"/>
                    <w:sz w:val="26"/>
                  </w:rPr>
                  <w:t> </w:t>
                </w:r>
                <w:r>
                  <w:rPr>
                    <w:rFonts w:ascii="Arial"/>
                    <w:sz w:val="26"/>
                  </w:rPr>
                  <w:t>SYSTEMS,</w:t>
                </w:r>
                <w:r>
                  <w:rPr>
                    <w:rFonts w:ascii="Arial"/>
                    <w:spacing w:val="-34"/>
                    <w:sz w:val="26"/>
                  </w:rPr>
                  <w:t> </w:t>
                </w:r>
                <w:r>
                  <w:rPr>
                    <w:rFonts w:ascii="Arial"/>
                    <w:sz w:val="26"/>
                  </w:rPr>
                  <w:t>INC.</w:t>
                </w:r>
                <w:r>
                  <w:rPr>
                    <w:rFonts w:ascii="Arial"/>
                    <w:spacing w:val="-46"/>
                    <w:sz w:val="26"/>
                  </w:rPr>
                  <w:t> </w:t>
                </w:r>
                <w:r>
                  <w:rPr>
                    <w:rFonts w:ascii="Arial"/>
                    <w:sz w:val="26"/>
                  </w:rPr>
                  <w:t>HSE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698" w:hanging="288"/>
      </w:pPr>
      <w:rPr>
        <w:rFonts w:hint="default" w:ascii="Arial" w:hAnsi="Arial" w:eastAsia="Arial"/>
        <w:w w:val="117"/>
        <w:sz w:val="21"/>
        <w:szCs w:val="21"/>
      </w:rPr>
    </w:lvl>
    <w:lvl w:ilvl="1">
      <w:start w:val="1"/>
      <w:numFmt w:val="bullet"/>
      <w:lvlText w:val="•"/>
      <w:lvlJc w:val="left"/>
      <w:pPr>
        <w:ind w:left="1606" w:hanging="288"/>
      </w:pPr>
      <w:rPr>
        <w:rFonts w:hint="default"/>
      </w:rPr>
    </w:lvl>
    <w:lvl w:ilvl="2">
      <w:start w:val="1"/>
      <w:numFmt w:val="bullet"/>
      <w:lvlText w:val="•"/>
      <w:lvlJc w:val="left"/>
      <w:pPr>
        <w:ind w:left="2512" w:hanging="288"/>
      </w:pPr>
      <w:rPr>
        <w:rFonts w:hint="default"/>
      </w:rPr>
    </w:lvl>
    <w:lvl w:ilvl="3">
      <w:start w:val="1"/>
      <w:numFmt w:val="bullet"/>
      <w:lvlText w:val="•"/>
      <w:lvlJc w:val="left"/>
      <w:pPr>
        <w:ind w:left="3418" w:hanging="288"/>
      </w:pPr>
      <w:rPr>
        <w:rFonts w:hint="default"/>
      </w:rPr>
    </w:lvl>
    <w:lvl w:ilvl="4">
      <w:start w:val="1"/>
      <w:numFmt w:val="bullet"/>
      <w:lvlText w:val="•"/>
      <w:lvlJc w:val="left"/>
      <w:pPr>
        <w:ind w:left="4324" w:hanging="288"/>
      </w:pPr>
      <w:rPr>
        <w:rFonts w:hint="default"/>
      </w:rPr>
    </w:lvl>
    <w:lvl w:ilvl="5">
      <w:start w:val="1"/>
      <w:numFmt w:val="bullet"/>
      <w:lvlText w:val="•"/>
      <w:lvlJc w:val="left"/>
      <w:pPr>
        <w:ind w:left="5230" w:hanging="288"/>
      </w:pPr>
      <w:rPr>
        <w:rFonts w:hint="default"/>
      </w:rPr>
    </w:lvl>
    <w:lvl w:ilvl="6">
      <w:start w:val="1"/>
      <w:numFmt w:val="bullet"/>
      <w:lvlText w:val="•"/>
      <w:lvlJc w:val="left"/>
      <w:pPr>
        <w:ind w:left="6136" w:hanging="288"/>
      </w:pPr>
      <w:rPr>
        <w:rFonts w:hint="default"/>
      </w:rPr>
    </w:lvl>
    <w:lvl w:ilvl="7">
      <w:start w:val="1"/>
      <w:numFmt w:val="bullet"/>
      <w:lvlText w:val="•"/>
      <w:lvlJc w:val="left"/>
      <w:pPr>
        <w:ind w:left="7042" w:hanging="288"/>
      </w:pPr>
      <w:rPr>
        <w:rFonts w:hint="default"/>
      </w:rPr>
    </w:lvl>
    <w:lvl w:ilvl="8">
      <w:start w:val="1"/>
      <w:numFmt w:val="bullet"/>
      <w:lvlText w:val="•"/>
      <w:lvlJc w:val="left"/>
      <w:pPr>
        <w:ind w:left="7948" w:hanging="28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37"/>
      <w:ind w:left="410"/>
    </w:pPr>
    <w:rPr>
      <w:rFonts w:ascii="Arial" w:hAnsi="Arial" w:eastAsia="Arial"/>
      <w:sz w:val="21"/>
      <w:szCs w:val="21"/>
    </w:rPr>
  </w:style>
  <w:style w:styleId="Heading1" w:type="paragraph">
    <w:name w:val="Heading 1"/>
    <w:basedOn w:val="Normal"/>
    <w:uiPriority w:val="1"/>
    <w:qFormat/>
    <w:pPr>
      <w:ind w:left="20"/>
      <w:outlineLvl w:val="1"/>
    </w:pPr>
    <w:rPr>
      <w:rFonts w:ascii="Arial" w:hAnsi="Arial" w:eastAsia="Arial"/>
      <w:sz w:val="26"/>
      <w:szCs w:val="26"/>
    </w:rPr>
  </w:style>
  <w:style w:styleId="Heading2" w:type="paragraph">
    <w:name w:val="Heading 2"/>
    <w:basedOn w:val="Normal"/>
    <w:uiPriority w:val="1"/>
    <w:qFormat/>
    <w:pPr>
      <w:spacing w:before="143"/>
      <w:ind w:left="410"/>
      <w:outlineLvl w:val="2"/>
    </w:pPr>
    <w:rPr>
      <w:rFonts w:ascii="Arial" w:hAnsi="Arial" w:eastAsia="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2020-03-31T14:49:19Z</dcterms:created>
  <dcterms:modified xsi:type="dcterms:W3CDTF">2020-03-31T14:49:19Z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RICOH MP C6003</vt:lpwstr>
  </property>
  <property fmtid="{D5CDD505-2E9C-101B-9397-08002B2CF9AE}" pid="4" name="LastSaved">
    <vt:filetime>2020-03-31T00:00:00Z</vt:filetime>
  </property>
</Properties>
</file>